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9614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6145" w:rsidRDefault="00126DAF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996145" w:rsidRDefault="00126DAF">
            <w:pPr>
              <w:spacing w:after="0" w:line="240" w:lineRule="auto"/>
            </w:pPr>
            <w:r>
              <w:t>24230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6145" w:rsidRDefault="00126DAF">
            <w:pPr>
              <w:spacing w:after="0" w:line="240" w:lineRule="auto"/>
            </w:pPr>
            <w:r>
              <w:rPr>
                <w:b/>
              </w:rPr>
              <w:t xml:space="preserve">Naziv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996145" w:rsidRDefault="00126DAF">
            <w:pPr>
              <w:spacing w:after="0" w:line="240" w:lineRule="auto"/>
            </w:pPr>
            <w:r>
              <w:t>DJEČJI VRTIĆ VELIKA GORICA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6145" w:rsidRDefault="00126DA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96145" w:rsidRDefault="00126DAF">
            <w:pPr>
              <w:spacing w:after="0" w:line="240" w:lineRule="auto"/>
            </w:pPr>
            <w:r>
              <w:t>21</w:t>
            </w:r>
          </w:p>
        </w:tc>
      </w:tr>
    </w:tbl>
    <w:p w:rsidR="00996145" w:rsidRDefault="00126DAF">
      <w:r>
        <w:br/>
      </w:r>
    </w:p>
    <w:p w:rsidR="00996145" w:rsidRDefault="00126DA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96145" w:rsidRDefault="00126DA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96145" w:rsidRDefault="00126DA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3.319.338,51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3.850.441,58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3.441.072,56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3.913.311,25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9961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121.734,05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62.869,67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51,6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33,8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45.982,25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13.789,10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9961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45.781,20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13.721,22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30,0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9961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9961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167.515,25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76.590,89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45,7</w:t>
            </w:r>
          </w:p>
        </w:tc>
      </w:tr>
    </w:tbl>
    <w:p w:rsidR="00996145" w:rsidRDefault="00996145">
      <w:pPr>
        <w:spacing w:after="0"/>
      </w:pPr>
    </w:p>
    <w:p w:rsidR="00996145" w:rsidRDefault="00126DAF">
      <w:r>
        <w:t xml:space="preserve">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3.850.441,58 EUR.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od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lastRenderedPageBreak/>
        <w:t>ostalih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. Isto </w:t>
      </w:r>
      <w:proofErr w:type="spellStart"/>
      <w:r>
        <w:t>tako</w:t>
      </w:r>
      <w:proofErr w:type="spellEnd"/>
      <w:r>
        <w:t xml:space="preserve">,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proteklom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financirani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za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.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sufinanciranja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(</w:t>
      </w:r>
      <w:proofErr w:type="spellStart"/>
      <w:r>
        <w:t>roditeljske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) </w:t>
      </w:r>
      <w:proofErr w:type="spellStart"/>
      <w:r>
        <w:t>umanjeni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88,5 %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 xml:space="preserve"> o </w:t>
      </w:r>
      <w:proofErr w:type="spellStart"/>
      <w:r>
        <w:t>besplatnim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 za </w:t>
      </w:r>
      <w:proofErr w:type="spellStart"/>
      <w:r>
        <w:t>roditelje</w:t>
      </w:r>
      <w:proofErr w:type="spellEnd"/>
      <w:r>
        <w:t>/</w:t>
      </w:r>
      <w:proofErr w:type="spellStart"/>
      <w:r>
        <w:t>skrbnike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3.913.311,25 EUR.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proofErr w:type="gramStart"/>
      <w:r>
        <w:t>usluge</w:t>
      </w:r>
      <w:proofErr w:type="spellEnd"/>
      <w:r>
        <w:t xml:space="preserve">  </w:t>
      </w:r>
      <w:proofErr w:type="spellStart"/>
      <w:r>
        <w:t>tekućeg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</w:t>
      </w:r>
      <w:r>
        <w:t>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krova</w:t>
      </w:r>
      <w:proofErr w:type="spellEnd"/>
      <w:r>
        <w:t xml:space="preserve"> </w:t>
      </w:r>
      <w:proofErr w:type="spellStart"/>
      <w:r>
        <w:t>centralnog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ugradnju</w:t>
      </w:r>
      <w:proofErr w:type="spellEnd"/>
      <w:r>
        <w:t xml:space="preserve"> </w:t>
      </w:r>
      <w:proofErr w:type="spellStart"/>
      <w:r>
        <w:t>pvc</w:t>
      </w:r>
      <w:proofErr w:type="spellEnd"/>
      <w:r>
        <w:t xml:space="preserve"> </w:t>
      </w:r>
      <w:proofErr w:type="spellStart"/>
      <w:r>
        <w:t>stolarije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material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dijelove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manjeg</w:t>
      </w:r>
      <w:proofErr w:type="spellEnd"/>
      <w:r>
        <w:t xml:space="preserve"> </w:t>
      </w:r>
      <w:proofErr w:type="spellStart"/>
      <w:r>
        <w:t>opsega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redovitom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izvanrednom</w:t>
      </w:r>
      <w:proofErr w:type="spellEnd"/>
      <w:r>
        <w:t xml:space="preserve">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intelektualne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vlastitim</w:t>
      </w:r>
      <w:proofErr w:type="spellEnd"/>
      <w:r>
        <w:t xml:space="preserve"> </w:t>
      </w:r>
      <w:proofErr w:type="spellStart"/>
      <w:r>
        <w:t>kadrovskim</w:t>
      </w:r>
      <w:proofErr w:type="spellEnd"/>
      <w:r>
        <w:t xml:space="preserve"> </w:t>
      </w:r>
      <w:proofErr w:type="spellStart"/>
      <w:r>
        <w:t>resursima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reprezentaciju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racionalizacije</w:t>
      </w:r>
      <w:proofErr w:type="spellEnd"/>
      <w:r>
        <w:t xml:space="preserve"> </w:t>
      </w:r>
      <w:proofErr w:type="spellStart"/>
      <w:r>
        <w:t>potrošnje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67,88 EUR.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stanova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stanarsko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a </w:t>
      </w:r>
      <w:proofErr w:type="spellStart"/>
      <w:r>
        <w:t>umanjeni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66,2 %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– </w:t>
      </w:r>
      <w:proofErr w:type="spellStart"/>
      <w:r>
        <w:t>cjelokupna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stana</w:t>
      </w:r>
      <w:proofErr w:type="spellEnd"/>
      <w:r>
        <w:t xml:space="preserve"> koji je </w:t>
      </w:r>
      <w:proofErr w:type="spellStart"/>
      <w:r>
        <w:t>kupljen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kupoprodaji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je </w:t>
      </w:r>
      <w:proofErr w:type="spellStart"/>
      <w:r>
        <w:t>podmirena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</w:t>
      </w:r>
      <w:r>
        <w:t>ne</w:t>
      </w:r>
      <w:proofErr w:type="spellEnd"/>
      <w:r>
        <w:t xml:space="preserve">.  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od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. 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62.869,67 EUR,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13.721,22 EUR </w:t>
      </w:r>
      <w:proofErr w:type="spellStart"/>
      <w:r>
        <w:t>slijedom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76.590,89 EUR.</w:t>
      </w:r>
    </w:p>
    <w:p w:rsidR="00996145" w:rsidRDefault="00126DAF">
      <w:r>
        <w:br/>
      </w:r>
    </w:p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koji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nadležan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23.761,00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13.395,80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56,4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.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za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darovite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, </w:t>
      </w:r>
      <w:proofErr w:type="spellStart"/>
      <w:r>
        <w:t>programa</w:t>
      </w:r>
      <w:proofErr w:type="spellEnd"/>
      <w:r>
        <w:t xml:space="preserve"> pred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djecu</w:t>
      </w:r>
      <w:proofErr w:type="spellEnd"/>
      <w:r>
        <w:t xml:space="preserve"> s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integrirana</w:t>
      </w:r>
      <w:proofErr w:type="spellEnd"/>
      <w:r>
        <w:t xml:space="preserve"> u </w:t>
      </w:r>
      <w:proofErr w:type="spellStart"/>
      <w:r>
        <w:t>redovite</w:t>
      </w:r>
      <w:proofErr w:type="spellEnd"/>
      <w:r>
        <w:t xml:space="preserve"> </w:t>
      </w:r>
      <w:proofErr w:type="spellStart"/>
      <w:r>
        <w:t>odgojno</w:t>
      </w:r>
      <w:proofErr w:type="spellEnd"/>
      <w:r>
        <w:t xml:space="preserve"> </w:t>
      </w:r>
      <w:proofErr w:type="spellStart"/>
      <w:r>
        <w:t>obrazovne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uplatilo</w:t>
      </w:r>
      <w:proofErr w:type="spellEnd"/>
      <w:r>
        <w:t xml:space="preserve"> je </w:t>
      </w:r>
      <w:proofErr w:type="spellStart"/>
      <w:r>
        <w:t>iznose</w:t>
      </w:r>
      <w:proofErr w:type="spellEnd"/>
      <w:r>
        <w:t xml:space="preserve"> za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ciklus</w:t>
      </w:r>
      <w:proofErr w:type="spellEnd"/>
      <w:r>
        <w:t xml:space="preserve"> </w:t>
      </w:r>
      <w:proofErr w:type="spellStart"/>
      <w:r>
        <w:t>sufinanciranja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zateznih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kamata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145,6</w:t>
            </w:r>
          </w:p>
        </w:tc>
      </w:tr>
    </w:tbl>
    <w:p w:rsidR="00996145" w:rsidRDefault="00996145">
      <w:pPr>
        <w:spacing w:after="0"/>
      </w:pPr>
    </w:p>
    <w:p w:rsidR="00996145" w:rsidRDefault="00126DAF"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zateznih</w:t>
      </w:r>
      <w:proofErr w:type="spellEnd"/>
      <w:r>
        <w:t xml:space="preserve"> </w:t>
      </w:r>
      <w:proofErr w:type="spellStart"/>
      <w:r>
        <w:t>kamata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nenaplaćenih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primjenjuje</w:t>
      </w:r>
      <w:proofErr w:type="spellEnd"/>
      <w:r>
        <w:t xml:space="preserve"> od </w:t>
      </w:r>
      <w:proofErr w:type="gramStart"/>
      <w:r>
        <w:t>10.listopada</w:t>
      </w:r>
      <w:proofErr w:type="gramEnd"/>
      <w:r>
        <w:t xml:space="preserve"> 2024. </w:t>
      </w:r>
      <w:proofErr w:type="spellStart"/>
      <w:r>
        <w:t>godine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385.987,78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44.561,23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11,5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sufinanciranja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(</w:t>
      </w:r>
      <w:proofErr w:type="spellStart"/>
      <w:r>
        <w:t>roditeljske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)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po </w:t>
      </w:r>
      <w:proofErr w:type="spellStart"/>
      <w:r>
        <w:t>Odluci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upisu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mjerilima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u </w:t>
      </w:r>
      <w:proofErr w:type="spellStart"/>
      <w:r>
        <w:t>cijeni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u </w:t>
      </w:r>
      <w:proofErr w:type="spellStart"/>
      <w:r>
        <w:t>dječjim</w:t>
      </w:r>
      <w:proofErr w:type="spellEnd"/>
      <w:r>
        <w:t xml:space="preserve"> </w:t>
      </w:r>
      <w:proofErr w:type="spellStart"/>
      <w:r>
        <w:t>vrtićima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Grad Velika Gorica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10. </w:t>
      </w:r>
      <w:proofErr w:type="spellStart"/>
      <w:r>
        <w:t>definira</w:t>
      </w:r>
      <w:proofErr w:type="spellEnd"/>
      <w:r>
        <w:t xml:space="preserve"> </w:t>
      </w:r>
      <w:proofErr w:type="spellStart"/>
      <w:r>
        <w:t>besplatne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za </w:t>
      </w:r>
      <w:proofErr w:type="spellStart"/>
      <w:r>
        <w:t>roditelje</w:t>
      </w:r>
      <w:proofErr w:type="spellEnd"/>
      <w:r>
        <w:t>/</w:t>
      </w:r>
      <w:proofErr w:type="spellStart"/>
      <w:r>
        <w:t>skrbnike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po </w:t>
      </w:r>
      <w:proofErr w:type="spellStart"/>
      <w:r>
        <w:t>Zaključku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 xml:space="preserve"> o </w:t>
      </w:r>
      <w:proofErr w:type="spellStart"/>
      <w:r>
        <w:t>određivanju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</w:t>
      </w:r>
      <w:proofErr w:type="spellStart"/>
      <w:r>
        <w:t>roditelj</w:t>
      </w:r>
      <w:r>
        <w:t>a</w:t>
      </w:r>
      <w:proofErr w:type="spellEnd"/>
      <w:r>
        <w:t xml:space="preserve"> u </w:t>
      </w:r>
      <w:proofErr w:type="spellStart"/>
      <w:r>
        <w:t>cijeni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odgojno-obrazovnih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u </w:t>
      </w:r>
      <w:proofErr w:type="spellStart"/>
      <w:r>
        <w:t>dječjim</w:t>
      </w:r>
      <w:proofErr w:type="spellEnd"/>
      <w:r>
        <w:t xml:space="preserve"> </w:t>
      </w:r>
      <w:proofErr w:type="spellStart"/>
      <w:r>
        <w:t>vrtićima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Grad Velika Gorica a </w:t>
      </w:r>
      <w:proofErr w:type="spellStart"/>
      <w:r>
        <w:t>primjenjuju</w:t>
      </w:r>
      <w:proofErr w:type="spellEnd"/>
      <w:r>
        <w:t xml:space="preserve"> se od 1. </w:t>
      </w:r>
      <w:proofErr w:type="spellStart"/>
      <w:r>
        <w:t>rujna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Grada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Gorice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3/2024, 4/2024.).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6145" w:rsidRDefault="00996145">
      <w:pPr>
        <w:spacing w:after="0"/>
      </w:pPr>
    </w:p>
    <w:p w:rsidR="00996145" w:rsidRDefault="00126DAF">
      <w:r>
        <w:t xml:space="preserve">U </w:t>
      </w:r>
      <w:proofErr w:type="spellStart"/>
      <w:r>
        <w:t>proteklom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.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od </w:t>
      </w:r>
      <w:proofErr w:type="spellStart"/>
      <w:r>
        <w:t>isporučenih</w:t>
      </w:r>
      <w:proofErr w:type="spellEnd"/>
      <w:r>
        <w:t xml:space="preserve"> </w:t>
      </w:r>
      <w:proofErr w:type="spellStart"/>
      <w:r>
        <w:t>viškova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u </w:t>
      </w:r>
      <w:proofErr w:type="spellStart"/>
      <w:r>
        <w:t>sustav</w:t>
      </w:r>
      <w:proofErr w:type="spellEnd"/>
      <w:r>
        <w:t xml:space="preserve"> HEP </w:t>
      </w:r>
      <w:proofErr w:type="spellStart"/>
      <w:r>
        <w:t>Opskrbe</w:t>
      </w:r>
      <w:proofErr w:type="spellEnd"/>
      <w:r>
        <w:t xml:space="preserve"> d.o.o.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solarnih</w:t>
      </w:r>
      <w:proofErr w:type="spellEnd"/>
      <w:r>
        <w:t xml:space="preserve"> panela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obnovljivih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koji </w:t>
      </w:r>
      <w:proofErr w:type="spellStart"/>
      <w:r>
        <w:t>omogućuju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energetske</w:t>
      </w:r>
      <w:proofErr w:type="spellEnd"/>
      <w:r>
        <w:t xml:space="preserve"> </w:t>
      </w:r>
      <w:proofErr w:type="spellStart"/>
      <w:r>
        <w:t>samostalnosti</w:t>
      </w:r>
      <w:proofErr w:type="spellEnd"/>
      <w:r>
        <w:t xml:space="preserve">.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instalaciju</w:t>
      </w:r>
      <w:proofErr w:type="spellEnd"/>
      <w:r>
        <w:t xml:space="preserve"> </w:t>
      </w:r>
      <w:proofErr w:type="spellStart"/>
      <w:r>
        <w:t>solarnih</w:t>
      </w:r>
      <w:proofErr w:type="spellEnd"/>
      <w:r>
        <w:t xml:space="preserve"> panela </w:t>
      </w:r>
      <w:proofErr w:type="spellStart"/>
      <w:r>
        <w:t>generira</w:t>
      </w:r>
      <w:proofErr w:type="spellEnd"/>
      <w:r>
        <w:t xml:space="preserve"> se </w:t>
      </w:r>
      <w:proofErr w:type="spellStart"/>
      <w:r>
        <w:t>električna</w:t>
      </w:r>
      <w:proofErr w:type="spellEnd"/>
      <w:r>
        <w:t xml:space="preserve"> </w:t>
      </w:r>
      <w:proofErr w:type="spellStart"/>
      <w:r>
        <w:t>energija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prodaje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dodatni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pruženih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– </w:t>
      </w:r>
      <w:proofErr w:type="spellStart"/>
      <w:r>
        <w:t>ostvarili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Zagreb za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praksi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rabljenog</w:t>
      </w:r>
      <w:proofErr w:type="spellEnd"/>
      <w:r>
        <w:t xml:space="preserve"> </w:t>
      </w:r>
      <w:proofErr w:type="spellStart"/>
      <w:r>
        <w:t>ulja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kuhinje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96145" w:rsidRDefault="00996145">
      <w:pPr>
        <w:spacing w:after="0"/>
      </w:pPr>
    </w:p>
    <w:p w:rsidR="00996145" w:rsidRDefault="00126DAF">
      <w:r>
        <w:t xml:space="preserve">U </w:t>
      </w:r>
      <w:proofErr w:type="spellStart"/>
      <w:r>
        <w:t>proteklom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od </w:t>
      </w:r>
      <w:proofErr w:type="spellStart"/>
      <w:r>
        <w:t>neprofitne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,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donacija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2.908.992,83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3.791.985,56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povećanje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povećanju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izračun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koeficijenata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Kolektivnog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predškolskim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Grada Velika Gorica od </w:t>
      </w:r>
      <w:proofErr w:type="spellStart"/>
      <w:r>
        <w:t>rujna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. Isto </w:t>
      </w:r>
      <w:proofErr w:type="spellStart"/>
      <w:r>
        <w:t>tako</w:t>
      </w:r>
      <w:proofErr w:type="spellEnd"/>
      <w:r>
        <w:t xml:space="preserve">,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r>
        <w:t xml:space="preserve">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proteklom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financirani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6145" w:rsidRDefault="00996145">
      <w:pPr>
        <w:spacing w:after="0"/>
      </w:pPr>
    </w:p>
    <w:p w:rsidR="00996145" w:rsidRDefault="00126DAF">
      <w:r>
        <w:t xml:space="preserve">U </w:t>
      </w:r>
      <w:proofErr w:type="spellStart"/>
      <w:r>
        <w:t>proteklom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.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ovršnog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.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ovršnog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primjenjuje</w:t>
      </w:r>
      <w:proofErr w:type="spellEnd"/>
      <w:r>
        <w:t xml:space="preserve"> od </w:t>
      </w:r>
      <w:proofErr w:type="gramStart"/>
      <w:r>
        <w:t>10.listopada</w:t>
      </w:r>
      <w:proofErr w:type="gramEnd"/>
      <w:r>
        <w:t xml:space="preserve"> 2024. </w:t>
      </w:r>
      <w:proofErr w:type="spellStart"/>
      <w:r>
        <w:t>godine</w:t>
      </w:r>
      <w:proofErr w:type="spellEnd"/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2.985.917,35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3.380.878,93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Prikazani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uvećanih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Kolektivnog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predškolskim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Grada Velika Gorica koji je u </w:t>
      </w:r>
      <w:proofErr w:type="spellStart"/>
      <w:r>
        <w:t>primjeni</w:t>
      </w:r>
      <w:proofErr w:type="spellEnd"/>
      <w:r>
        <w:t xml:space="preserve"> od </w:t>
      </w:r>
      <w:proofErr w:type="spellStart"/>
      <w:r>
        <w:t>rujna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Službena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putovanja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286,5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Ostvareni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opsega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uključivale</w:t>
      </w:r>
      <w:proofErr w:type="spellEnd"/>
      <w:r>
        <w:t xml:space="preserve"> </w:t>
      </w:r>
      <w:proofErr w:type="spellStart"/>
      <w:r>
        <w:t>sudjelovanje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sastancima</w:t>
      </w:r>
      <w:proofErr w:type="spellEnd"/>
      <w:r>
        <w:t xml:space="preserve">, </w:t>
      </w:r>
      <w:proofErr w:type="spellStart"/>
      <w:r>
        <w:t>edukacijama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događanjima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sjedišta</w:t>
      </w:r>
      <w:proofErr w:type="spellEnd"/>
      <w:r>
        <w:t xml:space="preserve"> Vrtića.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Stručno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usavršavanje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zaposlenika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214,6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Određeno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seminara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edukativnih</w:t>
      </w:r>
      <w:proofErr w:type="spellEnd"/>
      <w:r>
        <w:t xml:space="preserve"> </w:t>
      </w:r>
      <w:proofErr w:type="spellStart"/>
      <w:r>
        <w:t>radionica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 </w:t>
      </w:r>
      <w:proofErr w:type="spellStart"/>
      <w:r>
        <w:t>upućeno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radnika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dijelovi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7.903,30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5.961,25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75,4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Ostvareni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smanjenih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za </w:t>
      </w:r>
      <w:proofErr w:type="spellStart"/>
      <w:r>
        <w:t>raznim</w:t>
      </w:r>
      <w:proofErr w:type="spellEnd"/>
      <w:r>
        <w:t xml:space="preserve"> </w:t>
      </w:r>
      <w:proofErr w:type="spellStart"/>
      <w:r>
        <w:t>popravcima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nabavom</w:t>
      </w:r>
      <w:proofErr w:type="spellEnd"/>
      <w:r>
        <w:t xml:space="preserve"> </w:t>
      </w:r>
      <w:proofErr w:type="spellStart"/>
      <w:r>
        <w:t>materijalima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dijelovima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Sitni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inventar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5.050,33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177,2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Ostvareni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za </w:t>
      </w:r>
      <w:proofErr w:type="spellStart"/>
      <w:r>
        <w:t>redovitom</w:t>
      </w:r>
      <w:proofErr w:type="spellEnd"/>
      <w:r>
        <w:t xml:space="preserve"> </w:t>
      </w:r>
      <w:proofErr w:type="spellStart"/>
      <w:r>
        <w:t>zamjenom</w:t>
      </w:r>
      <w:proofErr w:type="spellEnd"/>
      <w:r>
        <w:t xml:space="preserve"> </w:t>
      </w:r>
      <w:proofErr w:type="spellStart"/>
      <w:r>
        <w:t>dotrajale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neispravne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sigurnog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. </w:t>
      </w:r>
      <w:proofErr w:type="spellStart"/>
      <w:r>
        <w:t>Nabavljen</w:t>
      </w:r>
      <w:proofErr w:type="spellEnd"/>
      <w:r>
        <w:t xml:space="preserve"> je </w:t>
      </w:r>
      <w:proofErr w:type="spellStart"/>
      <w:r>
        <w:t>komplet</w:t>
      </w:r>
      <w:proofErr w:type="spellEnd"/>
      <w:r>
        <w:t xml:space="preserve"> auto </w:t>
      </w:r>
      <w:proofErr w:type="spellStart"/>
      <w:r>
        <w:t>guma</w:t>
      </w:r>
      <w:proofErr w:type="spellEnd"/>
      <w:r>
        <w:t xml:space="preserve">, u </w:t>
      </w:r>
      <w:proofErr w:type="spellStart"/>
      <w:r>
        <w:t>proteklom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nabavljane</w:t>
      </w:r>
      <w:proofErr w:type="spellEnd"/>
      <w:r>
        <w:t xml:space="preserve"> auto </w:t>
      </w:r>
      <w:proofErr w:type="spellStart"/>
      <w:r>
        <w:t>gume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Službena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radna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odjeća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obuća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7.472,34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149,2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Ostvareni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nabavljana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službena</w:t>
      </w:r>
      <w:proofErr w:type="spellEnd"/>
      <w:r>
        <w:t xml:space="preserve">,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zaštitna</w:t>
      </w:r>
      <w:proofErr w:type="spellEnd"/>
      <w:r>
        <w:t xml:space="preserve"> </w:t>
      </w:r>
      <w:proofErr w:type="spellStart"/>
      <w:r>
        <w:t>odjeća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obuća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zaštitnoj</w:t>
      </w:r>
      <w:proofErr w:type="spellEnd"/>
      <w:r>
        <w:t xml:space="preserve"> </w:t>
      </w:r>
      <w:proofErr w:type="spellStart"/>
      <w:r>
        <w:t>odjeći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obući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Velika Gorica.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22.953,36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72.673,49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316,6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Prikazani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značajnije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popravak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zamjenu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cjevovoda</w:t>
      </w:r>
      <w:proofErr w:type="spellEnd"/>
      <w:r>
        <w:t xml:space="preserve"> u </w:t>
      </w:r>
      <w:proofErr w:type="spellStart"/>
      <w:r>
        <w:t>kotlovnici</w:t>
      </w:r>
      <w:proofErr w:type="spellEnd"/>
      <w:r>
        <w:t xml:space="preserve"> </w:t>
      </w:r>
      <w:proofErr w:type="spellStart"/>
      <w:r>
        <w:t>centralnog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, </w:t>
      </w:r>
      <w:proofErr w:type="spellStart"/>
      <w:r>
        <w:t>ugradnju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brave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ulaznim</w:t>
      </w:r>
      <w:proofErr w:type="spellEnd"/>
      <w:r>
        <w:t xml:space="preserve"> </w:t>
      </w:r>
      <w:proofErr w:type="spellStart"/>
      <w:r>
        <w:t>vratima</w:t>
      </w:r>
      <w:proofErr w:type="spellEnd"/>
      <w:r>
        <w:t xml:space="preserve">, </w:t>
      </w:r>
      <w:proofErr w:type="spellStart"/>
      <w:r>
        <w:t>radove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sanaciji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hidroizolaciji</w:t>
      </w:r>
      <w:proofErr w:type="spellEnd"/>
      <w:r>
        <w:t xml:space="preserve"> </w:t>
      </w:r>
      <w:proofErr w:type="spellStart"/>
      <w:r>
        <w:t>krova</w:t>
      </w:r>
      <w:proofErr w:type="spellEnd"/>
      <w:r>
        <w:t xml:space="preserve"> </w:t>
      </w:r>
      <w:proofErr w:type="spellStart"/>
      <w:r>
        <w:t>centralnog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dobavi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ugradnji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stolarije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Zdravstvene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veterinarske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6.212,29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30.394,60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489,3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Prikazani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obavljenih</w:t>
      </w:r>
      <w:proofErr w:type="spellEnd"/>
      <w:r>
        <w:t xml:space="preserve"> </w:t>
      </w:r>
      <w:proofErr w:type="spellStart"/>
      <w:r>
        <w:t>sistematskih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23,1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Ostvareni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je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realiziran</w:t>
      </w:r>
      <w:proofErr w:type="spellEnd"/>
      <w:r>
        <w:t xml:space="preserve"> </w:t>
      </w:r>
      <w:proofErr w:type="spellStart"/>
      <w:r>
        <w:t>vlastitim</w:t>
      </w:r>
      <w:proofErr w:type="spellEnd"/>
      <w:r>
        <w:t xml:space="preserve"> </w:t>
      </w:r>
      <w:proofErr w:type="spellStart"/>
      <w:r>
        <w:t>kadrovskim</w:t>
      </w:r>
      <w:proofErr w:type="spellEnd"/>
      <w:r>
        <w:t xml:space="preserve"> </w:t>
      </w:r>
      <w:proofErr w:type="spellStart"/>
      <w:r>
        <w:t>resursima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7.640,03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152,8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Prikazani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 </w:t>
      </w:r>
      <w:proofErr w:type="spellStart"/>
      <w:r>
        <w:t>kuhinjskih</w:t>
      </w:r>
      <w:proofErr w:type="spellEnd"/>
      <w:r>
        <w:t xml:space="preserve"> </w:t>
      </w:r>
      <w:proofErr w:type="spellStart"/>
      <w:r>
        <w:t>termometara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veljače</w:t>
      </w:r>
      <w:proofErr w:type="spellEnd"/>
      <w:r>
        <w:t xml:space="preserve">, </w:t>
      </w:r>
      <w:proofErr w:type="spellStart"/>
      <w:r>
        <w:t>odčepljivanje</w:t>
      </w:r>
      <w:proofErr w:type="spellEnd"/>
      <w:r>
        <w:t xml:space="preserve"> </w:t>
      </w:r>
      <w:proofErr w:type="spellStart"/>
      <w:r>
        <w:t>kanalizacije</w:t>
      </w:r>
      <w:proofErr w:type="spellEnd"/>
      <w:r>
        <w:t xml:space="preserve">, </w:t>
      </w:r>
      <w:proofErr w:type="spellStart"/>
      <w:r>
        <w:t>dovoz</w:t>
      </w:r>
      <w:proofErr w:type="spellEnd"/>
      <w:r>
        <w:t xml:space="preserve"> </w:t>
      </w:r>
      <w:proofErr w:type="spellStart"/>
      <w:r>
        <w:t>pijeska</w:t>
      </w:r>
      <w:proofErr w:type="spellEnd"/>
      <w:r>
        <w:t xml:space="preserve">, </w:t>
      </w:r>
      <w:proofErr w:type="spellStart"/>
      <w:r>
        <w:t>pranje</w:t>
      </w:r>
      <w:proofErr w:type="spellEnd"/>
      <w:r>
        <w:t xml:space="preserve"> </w:t>
      </w:r>
      <w:proofErr w:type="spellStart"/>
      <w:r>
        <w:t>prozora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obilježavanja</w:t>
      </w:r>
      <w:proofErr w:type="spellEnd"/>
      <w:r>
        <w:t xml:space="preserve"> dana </w:t>
      </w:r>
      <w:proofErr w:type="spellStart"/>
      <w:r>
        <w:t>vrtića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Reprezentacija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47,5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Prikazani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reprezentaciju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racionalnog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troškovima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smanjenjem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zahtijevaju</w:t>
      </w:r>
      <w:proofErr w:type="spellEnd"/>
      <w:r>
        <w:t xml:space="preserve"> </w:t>
      </w:r>
      <w:proofErr w:type="spellStart"/>
      <w:r>
        <w:t>reprezentativne</w:t>
      </w:r>
      <w:proofErr w:type="spellEnd"/>
      <w:r>
        <w:t xml:space="preserve"> </w:t>
      </w:r>
      <w:proofErr w:type="spellStart"/>
      <w:r>
        <w:t>izdatke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246,6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lastRenderedPageBreak/>
        <w:t>Prikazani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javnobilježničkih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Naime, </w:t>
      </w:r>
      <w:proofErr w:type="spellStart"/>
      <w:r>
        <w:t>pojačani</w:t>
      </w:r>
      <w:proofErr w:type="spellEnd"/>
      <w:r>
        <w:t xml:space="preserve"> </w:t>
      </w:r>
      <w:proofErr w:type="spellStart"/>
      <w:r>
        <w:t>zahtjevi</w:t>
      </w:r>
      <w:proofErr w:type="spellEnd"/>
      <w:r>
        <w:t xml:space="preserve"> u </w:t>
      </w:r>
      <w:proofErr w:type="spellStart"/>
      <w:r>
        <w:t>provedbi</w:t>
      </w:r>
      <w:proofErr w:type="spellEnd"/>
      <w:r>
        <w:t xml:space="preserve"> </w:t>
      </w:r>
      <w:proofErr w:type="spellStart"/>
      <w:r>
        <w:t>ovrha</w:t>
      </w:r>
      <w:proofErr w:type="spellEnd"/>
      <w:r>
        <w:t xml:space="preserve"> </w:t>
      </w:r>
      <w:proofErr w:type="spellStart"/>
      <w:r>
        <w:t>rezultirali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većim</w:t>
      </w:r>
      <w:proofErr w:type="spellEnd"/>
      <w:r>
        <w:t xml:space="preserve"> </w:t>
      </w:r>
      <w:proofErr w:type="spellStart"/>
      <w:r>
        <w:t>obimom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utjecalo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količinu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prijedloge</w:t>
      </w:r>
      <w:proofErr w:type="spellEnd"/>
      <w:r>
        <w:t xml:space="preserve"> za </w:t>
      </w:r>
      <w:proofErr w:type="spellStart"/>
      <w:r>
        <w:t>ovrhu</w:t>
      </w:r>
      <w:proofErr w:type="spellEnd"/>
      <w:r>
        <w:t xml:space="preserve"> </w:t>
      </w:r>
      <w:proofErr w:type="spellStart"/>
      <w:r>
        <w:t>dužnika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Zatezne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kamate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Prikazani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proofErr w:type="gramStart"/>
      <w:r>
        <w:t>rezultat</w:t>
      </w:r>
      <w:proofErr w:type="spellEnd"/>
      <w:r>
        <w:t xml:space="preserve">  </w:t>
      </w:r>
      <w:proofErr w:type="spellStart"/>
      <w:r>
        <w:t>kašnjenja</w:t>
      </w:r>
      <w:proofErr w:type="spellEnd"/>
      <w:proofErr w:type="gramEnd"/>
      <w:r>
        <w:t xml:space="preserve"> u </w:t>
      </w:r>
      <w:proofErr w:type="spellStart"/>
      <w:r>
        <w:t>podmirivanju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dobavljačima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a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plaćene</w:t>
      </w:r>
      <w:proofErr w:type="spellEnd"/>
      <w:r>
        <w:t xml:space="preserve"> u </w:t>
      </w:r>
      <w:proofErr w:type="spellStart"/>
      <w:r>
        <w:t>predviđenom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33,8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stanova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stanarsko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a </w:t>
      </w:r>
      <w:proofErr w:type="spellStart"/>
      <w:r>
        <w:t>umanjeni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– </w:t>
      </w:r>
      <w:proofErr w:type="spellStart"/>
      <w:r>
        <w:t>cjelokupna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stana</w:t>
      </w:r>
      <w:proofErr w:type="spellEnd"/>
      <w:r>
        <w:t xml:space="preserve"> koji je </w:t>
      </w:r>
      <w:proofErr w:type="spellStart"/>
      <w:r>
        <w:t>kupljen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kupoprodaji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je </w:t>
      </w:r>
      <w:proofErr w:type="spellStart"/>
      <w:r>
        <w:t>podmirena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45.982,25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13.789,10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Prikazani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kuhinjskog</w:t>
      </w:r>
      <w:proofErr w:type="spellEnd"/>
      <w:r>
        <w:t xml:space="preserve"> </w:t>
      </w:r>
      <w:proofErr w:type="spellStart"/>
      <w:r>
        <w:t>ormarića</w:t>
      </w:r>
      <w:proofErr w:type="spellEnd"/>
      <w:r>
        <w:t xml:space="preserve">, </w:t>
      </w:r>
      <w:proofErr w:type="spellStart"/>
      <w:r>
        <w:t>računala</w:t>
      </w:r>
      <w:proofErr w:type="spellEnd"/>
      <w:r>
        <w:t xml:space="preserve">, </w:t>
      </w:r>
      <w:proofErr w:type="spellStart"/>
      <w:r>
        <w:t>klima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dječjih</w:t>
      </w:r>
      <w:proofErr w:type="spellEnd"/>
      <w:r>
        <w:t xml:space="preserve"> </w:t>
      </w:r>
      <w:proofErr w:type="spellStart"/>
      <w:r>
        <w:t>igrala</w:t>
      </w:r>
      <w:proofErr w:type="spellEnd"/>
      <w:r>
        <w:t xml:space="preserve">,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nabavljani</w:t>
      </w:r>
      <w:proofErr w:type="spellEnd"/>
      <w:r>
        <w:t xml:space="preserve"> </w:t>
      </w:r>
      <w:proofErr w:type="spellStart"/>
      <w:r>
        <w:t>ormari</w:t>
      </w:r>
      <w:proofErr w:type="spellEnd"/>
      <w:r>
        <w:t xml:space="preserve">, </w:t>
      </w:r>
      <w:proofErr w:type="spellStart"/>
      <w:r>
        <w:t>profesionalna</w:t>
      </w:r>
      <w:proofErr w:type="spellEnd"/>
      <w:r>
        <w:t xml:space="preserve"> </w:t>
      </w:r>
      <w:proofErr w:type="spellStart"/>
      <w:r>
        <w:t>kuhinjska</w:t>
      </w:r>
      <w:proofErr w:type="spellEnd"/>
      <w:r>
        <w:t xml:space="preserve"> </w:t>
      </w:r>
      <w:proofErr w:type="spellStart"/>
      <w:r>
        <w:t>sjeckalica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klima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957.953,11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925.397,92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96,6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Iznos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prikazuje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odstupanje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; </w:t>
      </w:r>
      <w:proofErr w:type="spellStart"/>
      <w:r>
        <w:t>evidentirana</w:t>
      </w:r>
      <w:proofErr w:type="spellEnd"/>
      <w:r>
        <w:t xml:space="preserve"> je </w:t>
      </w:r>
      <w:proofErr w:type="spellStart"/>
      <w:r>
        <w:t>nabava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ispravka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isknjižavanje</w:t>
      </w:r>
      <w:proofErr w:type="spellEnd"/>
      <w:r>
        <w:t xml:space="preserve"> </w:t>
      </w:r>
      <w:proofErr w:type="spellStart"/>
      <w:r>
        <w:t>rashodovane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  </w:t>
      </w:r>
    </w:p>
    <w:p w:rsidR="00996145" w:rsidRDefault="00126DAF">
      <w:proofErr w:type="spellStart"/>
      <w:r>
        <w:t>Kod</w:t>
      </w:r>
      <w:proofErr w:type="spellEnd"/>
      <w:r>
        <w:t xml:space="preserve"> </w:t>
      </w:r>
      <w:proofErr w:type="spellStart"/>
      <w:r>
        <w:t>ispravka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primijenjene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stope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31.830,45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33.926,70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Povećanje</w:t>
      </w:r>
      <w:proofErr w:type="spellEnd"/>
      <w:r>
        <w:t xml:space="preserve"> </w:t>
      </w:r>
      <w:proofErr w:type="spellStart"/>
      <w:r>
        <w:t>indeksa</w:t>
      </w:r>
      <w:proofErr w:type="spellEnd"/>
      <w:r>
        <w:t xml:space="preserve"> za 6,6 %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je </w:t>
      </w:r>
      <w:proofErr w:type="spellStart"/>
      <w:r>
        <w:t>najvećim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računima</w:t>
      </w:r>
      <w:proofErr w:type="spellEnd"/>
      <w:r>
        <w:t xml:space="preserve"> 167 –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za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uplaćena</w:t>
      </w:r>
      <w:proofErr w:type="spellEnd"/>
      <w:r>
        <w:t xml:space="preserve"> u 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od HZZO-a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(</w:t>
      </w:r>
      <w:proofErr w:type="spellStart"/>
      <w:r>
        <w:t>uplaćeni</w:t>
      </w:r>
      <w:proofErr w:type="spellEnd"/>
      <w:r>
        <w:t xml:space="preserve">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utrošeni</w:t>
      </w:r>
      <w:proofErr w:type="spellEnd"/>
      <w:r>
        <w:t xml:space="preserve"> </w:t>
      </w:r>
      <w:proofErr w:type="spellStart"/>
      <w:r>
        <w:t>namjenski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vlastiti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>). </w:t>
      </w:r>
    </w:p>
    <w:p w:rsidR="00996145" w:rsidRDefault="00126DAF">
      <w:r>
        <w:t xml:space="preserve">Na </w:t>
      </w:r>
      <w:proofErr w:type="spellStart"/>
      <w:r>
        <w:t>navedenoj</w:t>
      </w:r>
      <w:proofErr w:type="spellEnd"/>
      <w:r>
        <w:t xml:space="preserve"> </w:t>
      </w:r>
      <w:proofErr w:type="spellStart"/>
      <w:r>
        <w:t>stavci</w:t>
      </w:r>
      <w:proofErr w:type="spellEnd"/>
      <w:r>
        <w:t xml:space="preserve"> </w:t>
      </w:r>
      <w:proofErr w:type="spellStart"/>
      <w:r>
        <w:t>bilance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odstupanje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roditeljske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upisu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mjerilima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u </w:t>
      </w:r>
      <w:proofErr w:type="spellStart"/>
      <w:r>
        <w:t>cijeni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u </w:t>
      </w:r>
      <w:proofErr w:type="spellStart"/>
      <w:r>
        <w:t>dječjim</w:t>
      </w:r>
      <w:proofErr w:type="spellEnd"/>
      <w:r>
        <w:t xml:space="preserve"> </w:t>
      </w:r>
      <w:proofErr w:type="spellStart"/>
      <w:r>
        <w:t>vrtićima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Grad Velika Gorica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10. </w:t>
      </w:r>
      <w:proofErr w:type="spellStart"/>
      <w:r>
        <w:t>definira</w:t>
      </w:r>
      <w:proofErr w:type="spellEnd"/>
      <w:r>
        <w:t xml:space="preserve"> </w:t>
      </w:r>
      <w:proofErr w:type="spellStart"/>
      <w:r>
        <w:t>besplatne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za </w:t>
      </w:r>
      <w:proofErr w:type="spellStart"/>
      <w:r>
        <w:t>roditelje</w:t>
      </w:r>
      <w:proofErr w:type="spellEnd"/>
      <w:r>
        <w:t>/</w:t>
      </w:r>
      <w:proofErr w:type="spellStart"/>
      <w:r>
        <w:t>skrbnike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po </w:t>
      </w:r>
      <w:proofErr w:type="spellStart"/>
      <w:r>
        <w:t>Zaključku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 xml:space="preserve"> o </w:t>
      </w:r>
      <w:proofErr w:type="spellStart"/>
      <w:r>
        <w:t>određivanju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</w:t>
      </w:r>
      <w:proofErr w:type="spellStart"/>
      <w:r>
        <w:t>ro</w:t>
      </w:r>
      <w:r>
        <w:t>ditelja</w:t>
      </w:r>
      <w:proofErr w:type="spellEnd"/>
      <w:r>
        <w:t xml:space="preserve"> u </w:t>
      </w:r>
      <w:proofErr w:type="spellStart"/>
      <w:r>
        <w:t>cijeni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odgojno-obrazovnih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u </w:t>
      </w:r>
      <w:proofErr w:type="spellStart"/>
      <w:r>
        <w:t>dječjim</w:t>
      </w:r>
      <w:proofErr w:type="spellEnd"/>
      <w:r>
        <w:t xml:space="preserve"> </w:t>
      </w:r>
      <w:proofErr w:type="spellStart"/>
      <w:r>
        <w:t>vrtićima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Grad Velika Gorica a </w:t>
      </w:r>
      <w:proofErr w:type="spellStart"/>
      <w:r>
        <w:t>primjenjuju</w:t>
      </w:r>
      <w:proofErr w:type="spellEnd"/>
      <w:r>
        <w:t xml:space="preserve"> se od 1. </w:t>
      </w:r>
      <w:proofErr w:type="spellStart"/>
      <w:r>
        <w:t>rujna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Grada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Gorice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3/2024, 4/2024.).</w:t>
      </w:r>
    </w:p>
    <w:p w:rsidR="00996145" w:rsidRDefault="00126DAF">
      <w:proofErr w:type="spellStart"/>
      <w:r>
        <w:t>Sredstva</w:t>
      </w:r>
      <w:proofErr w:type="spellEnd"/>
      <w:r>
        <w:t xml:space="preserve"> </w:t>
      </w:r>
      <w:proofErr w:type="spellStart"/>
      <w:r>
        <w:t>uplaćena</w:t>
      </w:r>
      <w:proofErr w:type="spellEnd"/>
      <w:r>
        <w:t xml:space="preserve"> u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32 % </w:t>
      </w:r>
      <w:proofErr w:type="spellStart"/>
      <w:r>
        <w:t>manja</w:t>
      </w:r>
      <w:proofErr w:type="spellEnd"/>
      <w:r>
        <w:t>.</w:t>
      </w:r>
    </w:p>
    <w:p w:rsidR="00996145" w:rsidRDefault="00126DAF">
      <w:r>
        <w:lastRenderedPageBreak/>
        <w:t xml:space="preserve">Na dan 31.12.2024.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iskazana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23.970,85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iskazana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15.903,20 </w:t>
      </w:r>
      <w:proofErr w:type="spellStart"/>
      <w:r>
        <w:t>eura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30.198,06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20.530,90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68,0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proizlaze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obračunate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mjesečne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obračunava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iskazana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165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ranijih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: od 2013. za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pokrenuta</w:t>
      </w:r>
      <w:proofErr w:type="spellEnd"/>
      <w:r>
        <w:t xml:space="preserve"> </w:t>
      </w:r>
      <w:proofErr w:type="spellStart"/>
      <w:r>
        <w:t>prisilna</w:t>
      </w:r>
      <w:proofErr w:type="spellEnd"/>
      <w:r>
        <w:t xml:space="preserve"> </w:t>
      </w:r>
      <w:proofErr w:type="spellStart"/>
      <w:r>
        <w:t>naplata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ovršnog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proslijeđena</w:t>
      </w:r>
      <w:proofErr w:type="spellEnd"/>
      <w:r>
        <w:t xml:space="preserve"> FINI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naplatu</w:t>
      </w:r>
      <w:proofErr w:type="spellEnd"/>
      <w:r>
        <w:t xml:space="preserve"> –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7.831,73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potraživanje</w:t>
      </w:r>
      <w:proofErr w:type="spellEnd"/>
      <w:r>
        <w:t xml:space="preserve"> za </w:t>
      </w:r>
      <w:proofErr w:type="spellStart"/>
      <w:r>
        <w:t>studeni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700,63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potraživanje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gramStart"/>
      <w:r>
        <w:t>–  </w:t>
      </w:r>
      <w:proofErr w:type="spellStart"/>
      <w:r>
        <w:t>iznos</w:t>
      </w:r>
      <w:proofErr w:type="spellEnd"/>
      <w:proofErr w:type="gramEnd"/>
      <w:r>
        <w:t xml:space="preserve"> 3.985,00 </w:t>
      </w:r>
      <w:proofErr w:type="spellStart"/>
      <w:r>
        <w:t>eura</w:t>
      </w:r>
      <w:proofErr w:type="spellEnd"/>
      <w:r>
        <w:t>.</w:t>
      </w:r>
    </w:p>
    <w:p w:rsidR="00996145" w:rsidRDefault="00126DAF">
      <w:r>
        <w:t xml:space="preserve">Na </w:t>
      </w:r>
      <w:proofErr w:type="spellStart"/>
      <w:r>
        <w:t>računu</w:t>
      </w:r>
      <w:proofErr w:type="spellEnd"/>
      <w:r>
        <w:t xml:space="preserve"> 167 </w:t>
      </w:r>
      <w:proofErr w:type="spellStart"/>
      <w:r>
        <w:t>evidentirana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– </w:t>
      </w:r>
      <w:proofErr w:type="spellStart"/>
      <w:r>
        <w:t>uplaćeni</w:t>
      </w:r>
      <w:proofErr w:type="spellEnd"/>
      <w:r>
        <w:t xml:space="preserve">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utrošeni</w:t>
      </w:r>
      <w:proofErr w:type="spellEnd"/>
      <w:r>
        <w:t xml:space="preserve"> </w:t>
      </w:r>
      <w:proofErr w:type="spellStart"/>
      <w:r>
        <w:t>namjenski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vlastiti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, </w:t>
      </w:r>
      <w:proofErr w:type="spellStart"/>
      <w:r>
        <w:t>prenose</w:t>
      </w:r>
      <w:proofErr w:type="spellEnd"/>
      <w:r>
        <w:t xml:space="preserve"> se u </w:t>
      </w:r>
      <w:proofErr w:type="spellStart"/>
      <w:r>
        <w:t>slijedeću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za </w:t>
      </w:r>
      <w:proofErr w:type="spellStart"/>
      <w:r>
        <w:t>podmirenje</w:t>
      </w:r>
      <w:proofErr w:type="spellEnd"/>
      <w:r>
        <w:t xml:space="preserve"> </w:t>
      </w:r>
      <w:proofErr w:type="spellStart"/>
      <w:r>
        <w:t>nepodmirenih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>.</w:t>
      </w:r>
    </w:p>
    <w:p w:rsidR="00996145" w:rsidRDefault="00126DAF"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proveden</w:t>
      </w:r>
      <w:proofErr w:type="spellEnd"/>
      <w:r>
        <w:t xml:space="preserve"> je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417,12 </w:t>
      </w:r>
      <w:proofErr w:type="spellStart"/>
      <w:r>
        <w:t>eura</w:t>
      </w:r>
      <w:proofErr w:type="spellEnd"/>
      <w:r>
        <w:t xml:space="preserve"> (za </w:t>
      </w:r>
      <w:proofErr w:type="spellStart"/>
      <w:r>
        <w:t>kašnjenja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po </w:t>
      </w:r>
      <w:proofErr w:type="spellStart"/>
      <w:r>
        <w:t>stopi</w:t>
      </w:r>
      <w:proofErr w:type="spellEnd"/>
      <w:r>
        <w:t xml:space="preserve"> od 100%).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325.584,39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405.871,04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za 24,7%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najvećim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povećanju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izračun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koeficijenata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Kolektivnog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predškolskim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Grada Velika Gorica od </w:t>
      </w:r>
      <w:proofErr w:type="spellStart"/>
      <w:r>
        <w:t>rujna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dječjih</w:t>
      </w:r>
      <w:proofErr w:type="spellEnd"/>
      <w:r>
        <w:t xml:space="preserve"> </w:t>
      </w:r>
      <w:proofErr w:type="spellStart"/>
      <w:r>
        <w:t>sprava</w:t>
      </w:r>
      <w:proofErr w:type="spellEnd"/>
      <w:r>
        <w:t xml:space="preserve"> za </w:t>
      </w:r>
      <w:proofErr w:type="spellStart"/>
      <w:r>
        <w:t>vanjska</w:t>
      </w:r>
      <w:proofErr w:type="spellEnd"/>
      <w:r>
        <w:t xml:space="preserve"> </w:t>
      </w:r>
      <w:proofErr w:type="spellStart"/>
      <w:r>
        <w:t>igrališta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studenog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prosinca</w:t>
      </w:r>
      <w:proofErr w:type="spellEnd"/>
      <w:r>
        <w:t xml:space="preserve">.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stavci</w:t>
      </w:r>
      <w:proofErr w:type="spellEnd"/>
      <w:r>
        <w:t xml:space="preserve"> 27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predujmove</w:t>
      </w:r>
      <w:proofErr w:type="spellEnd"/>
      <w:r>
        <w:t xml:space="preserve">, </w:t>
      </w:r>
      <w:proofErr w:type="spellStart"/>
      <w:r>
        <w:t>depozite</w:t>
      </w:r>
      <w:proofErr w:type="spellEnd"/>
      <w:r>
        <w:t xml:space="preserve">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tuđe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za </w:t>
      </w:r>
      <w:proofErr w:type="spellStart"/>
      <w:r>
        <w:t>povrat</w:t>
      </w:r>
      <w:proofErr w:type="spellEnd"/>
      <w:r>
        <w:t xml:space="preserve"> u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bolovanja</w:t>
      </w:r>
      <w:proofErr w:type="spellEnd"/>
      <w:r>
        <w:t xml:space="preserve"> </w:t>
      </w:r>
      <w:proofErr w:type="spellStart"/>
      <w:r>
        <w:t>obračunata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HZZO-a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ispravaka</w:t>
      </w:r>
      <w:proofErr w:type="spellEnd"/>
      <w:r>
        <w:t xml:space="preserve"> </w:t>
      </w:r>
      <w:proofErr w:type="spellStart"/>
      <w:r>
        <w:t>obračuna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za </w:t>
      </w:r>
      <w:proofErr w:type="spellStart"/>
      <w:r>
        <w:lastRenderedPageBreak/>
        <w:t>kolovoz</w:t>
      </w:r>
      <w:proofErr w:type="spellEnd"/>
      <w:r>
        <w:t xml:space="preserve">, </w:t>
      </w:r>
      <w:proofErr w:type="spellStart"/>
      <w:r>
        <w:t>rujan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listopad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priznatih</w:t>
      </w:r>
      <w:proofErr w:type="spellEnd"/>
      <w:r>
        <w:t xml:space="preserve"> </w:t>
      </w:r>
      <w:proofErr w:type="spellStart"/>
      <w:r>
        <w:t>bolovanja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ozljede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za </w:t>
      </w:r>
      <w:proofErr w:type="spellStart"/>
      <w:r>
        <w:t>ukupno</w:t>
      </w:r>
      <w:proofErr w:type="spellEnd"/>
      <w:r>
        <w:t xml:space="preserve"> pet </w:t>
      </w:r>
      <w:proofErr w:type="spellStart"/>
      <w:r>
        <w:t>radnica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zahtjevi</w:t>
      </w:r>
      <w:proofErr w:type="spellEnd"/>
      <w:r>
        <w:t xml:space="preserve"> za </w:t>
      </w:r>
      <w:proofErr w:type="spellStart"/>
      <w:r>
        <w:t>refundaciju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Zavodu</w:t>
      </w:r>
      <w:proofErr w:type="spellEnd"/>
      <w:r>
        <w:t xml:space="preserve"> za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upućeni</w:t>
      </w:r>
      <w:proofErr w:type="spellEnd"/>
      <w:r>
        <w:t xml:space="preserve"> u </w:t>
      </w:r>
      <w:proofErr w:type="spellStart"/>
      <w:r>
        <w:t>prosincu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Vlastiti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izvori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664.199,17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553.453,58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83,3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Smanjenje</w:t>
      </w:r>
      <w:proofErr w:type="spellEnd"/>
      <w:r>
        <w:t xml:space="preserve"> </w:t>
      </w:r>
      <w:proofErr w:type="spellStart"/>
      <w:r>
        <w:t>indeksa</w:t>
      </w:r>
      <w:proofErr w:type="spellEnd"/>
      <w:r>
        <w:t xml:space="preserve"> za 16,7 %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proteklu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promjena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vlastitim</w:t>
      </w:r>
      <w:proofErr w:type="spellEnd"/>
      <w:r>
        <w:t xml:space="preserve"> </w:t>
      </w:r>
      <w:proofErr w:type="spellStart"/>
      <w:r>
        <w:t>izvorima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- 9111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uvećani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novonabavljenih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r>
        <w:t xml:space="preserve">  </w:t>
      </w:r>
      <w:proofErr w:type="spellStart"/>
      <w:r>
        <w:t>umanjeni</w:t>
      </w:r>
      <w:proofErr w:type="spellEnd"/>
      <w:proofErr w:type="gramEnd"/>
      <w:r>
        <w:t xml:space="preserve"> za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ispravka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>.</w:t>
      </w:r>
    </w:p>
    <w:p w:rsidR="00996145" w:rsidRDefault="00126DAF">
      <w:proofErr w:type="spellStart"/>
      <w:r>
        <w:t>Podaci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92221 </w:t>
      </w:r>
      <w:proofErr w:type="spellStart"/>
      <w:r>
        <w:t>prikazuju</w:t>
      </w:r>
      <w:proofErr w:type="spellEnd"/>
      <w:r>
        <w:t xml:space="preserve"> </w:t>
      </w:r>
      <w:proofErr w:type="spellStart"/>
      <w:r>
        <w:t>iskazani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42.031,67 </w:t>
      </w:r>
      <w:proofErr w:type="spellStart"/>
      <w:r>
        <w:t>eura</w:t>
      </w:r>
      <w:proofErr w:type="spellEnd"/>
      <w:r>
        <w:t xml:space="preserve"> (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62.869,67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umanjen</w:t>
      </w:r>
      <w:proofErr w:type="spellEnd"/>
      <w:r>
        <w:t xml:space="preserve"> za </w:t>
      </w:r>
      <w:proofErr w:type="spellStart"/>
      <w:r>
        <w:t>preneseni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20.838,00 </w:t>
      </w:r>
      <w:proofErr w:type="spellStart"/>
      <w:r>
        <w:t>eura</w:t>
      </w:r>
      <w:proofErr w:type="spellEnd"/>
      <w:r>
        <w:t>).</w:t>
      </w:r>
    </w:p>
    <w:p w:rsidR="00996145" w:rsidRDefault="00126DAF">
      <w:proofErr w:type="spellStart"/>
      <w:r>
        <w:t>Podaci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92222 </w:t>
      </w:r>
      <w:proofErr w:type="spellStart"/>
      <w:r>
        <w:t>prikazuju</w:t>
      </w:r>
      <w:proofErr w:type="spellEnd"/>
      <w:r>
        <w:t xml:space="preserve"> </w:t>
      </w:r>
      <w:proofErr w:type="spellStart"/>
      <w:r>
        <w:t>iskazani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348.335,09 </w:t>
      </w:r>
      <w:proofErr w:type="spellStart"/>
      <w:r>
        <w:t>eura</w:t>
      </w:r>
      <w:proofErr w:type="spellEnd"/>
      <w:r>
        <w:t xml:space="preserve"> (</w:t>
      </w:r>
      <w:proofErr w:type="spellStart"/>
      <w:r>
        <w:t>preneseni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334.613,87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uvećan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manjka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13.721,22 </w:t>
      </w:r>
      <w:proofErr w:type="spellStart"/>
      <w:r>
        <w:t>eura</w:t>
      </w:r>
      <w:proofErr w:type="spellEnd"/>
      <w:r>
        <w:t>).</w:t>
      </w:r>
    </w:p>
    <w:p w:rsidR="00996145" w:rsidRDefault="00126DAF">
      <w:r>
        <w:t xml:space="preserve">Saldo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podskupini</w:t>
      </w:r>
      <w:proofErr w:type="spellEnd"/>
      <w:r>
        <w:t xml:space="preserve"> 922 </w:t>
      </w:r>
      <w:proofErr w:type="spellStart"/>
      <w:r>
        <w:t>utvrđen</w:t>
      </w:r>
      <w:proofErr w:type="spellEnd"/>
      <w:r>
        <w:t xml:space="preserve"> je </w:t>
      </w:r>
      <w:proofErr w:type="spellStart"/>
      <w:r>
        <w:t>prebijanjem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viškova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manjkova</w:t>
      </w:r>
      <w:proofErr w:type="spellEnd"/>
      <w:r>
        <w:t xml:space="preserve"> po </w:t>
      </w:r>
      <w:proofErr w:type="spellStart"/>
      <w:r>
        <w:t>istovrsnim</w:t>
      </w:r>
      <w:proofErr w:type="spellEnd"/>
      <w:r>
        <w:t xml:space="preserve"> </w:t>
      </w:r>
      <w:proofErr w:type="spellStart"/>
      <w:r>
        <w:t>kategorijama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>.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Obračunati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6.227,21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74,3</w:t>
            </w:r>
          </w:p>
        </w:tc>
      </w:tr>
    </w:tbl>
    <w:p w:rsidR="00996145" w:rsidRDefault="00996145">
      <w:pPr>
        <w:spacing w:after="0"/>
      </w:pPr>
    </w:p>
    <w:p w:rsidR="00996145" w:rsidRDefault="00126DAF">
      <w:r>
        <w:t xml:space="preserve">Na </w:t>
      </w:r>
      <w:proofErr w:type="spellStart"/>
      <w:r>
        <w:t>stavci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iskazani</w:t>
      </w:r>
      <w:proofErr w:type="spellEnd"/>
      <w:r>
        <w:t xml:space="preserve"> </w:t>
      </w:r>
      <w:proofErr w:type="spellStart"/>
      <w:r>
        <w:t>obračunati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4.627,70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skupini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96 – </w:t>
      </w:r>
      <w:proofErr w:type="spellStart"/>
      <w:r>
        <w:t>obračunati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>.</w:t>
      </w:r>
    </w:p>
    <w:p w:rsidR="00996145" w:rsidRDefault="00126DAF">
      <w:proofErr w:type="spellStart"/>
      <w:r>
        <w:t>Iskazani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skupini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96 ne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jednakosti</w:t>
      </w:r>
      <w:proofErr w:type="spellEnd"/>
      <w:r>
        <w:t xml:space="preserve"> </w:t>
      </w:r>
      <w:proofErr w:type="spellStart"/>
      <w:r>
        <w:t>iskazanog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skupini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16 –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gramStart"/>
      <w:r>
        <w:t>20.530,90 euro</w:t>
      </w:r>
      <w:proofErr w:type="gramEnd"/>
      <w:r>
        <w:t xml:space="preserve"> za </w:t>
      </w:r>
      <w:proofErr w:type="spellStart"/>
      <w:r>
        <w:t>razliku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evidentirana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podskupini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167 u </w:t>
      </w:r>
      <w:proofErr w:type="spellStart"/>
      <w:r>
        <w:t>iznosu</w:t>
      </w:r>
      <w:proofErr w:type="spellEnd"/>
      <w:r>
        <w:t xml:space="preserve"> 15.903,20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izražavaju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evidentiraju</w:t>
      </w:r>
      <w:proofErr w:type="spellEnd"/>
      <w:r>
        <w:t xml:space="preserve"> se </w:t>
      </w:r>
      <w:proofErr w:type="spellStart"/>
      <w:r>
        <w:t>zaduživanjem</w:t>
      </w:r>
      <w:proofErr w:type="spellEnd"/>
      <w:r>
        <w:t xml:space="preserve"> </w:t>
      </w:r>
      <w:proofErr w:type="spellStart"/>
      <w:r>
        <w:lastRenderedPageBreak/>
        <w:t>odgovarajućeg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odjeljka</w:t>
      </w:r>
      <w:proofErr w:type="spellEnd"/>
      <w:r>
        <w:t xml:space="preserve"> 1672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priznaju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. U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zadužuje</w:t>
      </w:r>
      <w:proofErr w:type="spellEnd"/>
      <w:r>
        <w:t xml:space="preserve"> se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rač</w:t>
      </w:r>
      <w:r>
        <w:t>un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2 </w:t>
      </w:r>
      <w:proofErr w:type="spellStart"/>
      <w:r>
        <w:t>i</w:t>
      </w:r>
      <w:proofErr w:type="spellEnd"/>
      <w:r>
        <w:t xml:space="preserve"> </w:t>
      </w:r>
      <w:proofErr w:type="spellStart"/>
      <w:r>
        <w:t>odobrava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u </w:t>
      </w:r>
      <w:proofErr w:type="spellStart"/>
      <w:r>
        <w:t>podskupini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167.</w:t>
      </w:r>
    </w:p>
    <w:p w:rsidR="00996145" w:rsidRDefault="00126DAF">
      <w:r>
        <w:t> 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9961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46.344,30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192. </w:t>
      </w:r>
      <w:proofErr w:type="spellStart"/>
      <w:r>
        <w:t>stavak</w:t>
      </w:r>
      <w:proofErr w:type="spellEnd"/>
      <w:r>
        <w:t xml:space="preserve"> 7. </w:t>
      </w:r>
      <w:proofErr w:type="spellStart"/>
      <w:r>
        <w:t>podstavak</w:t>
      </w:r>
      <w:proofErr w:type="spellEnd"/>
      <w:r>
        <w:t xml:space="preserve"> 3.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stavci</w:t>
      </w:r>
      <w:proofErr w:type="spellEnd"/>
      <w:r>
        <w:t xml:space="preserve"> P003 </w:t>
      </w:r>
      <w:proofErr w:type="spellStart"/>
      <w:r>
        <w:t>proizvedena</w:t>
      </w:r>
      <w:proofErr w:type="spellEnd"/>
      <w:r>
        <w:t xml:space="preserve"> </w:t>
      </w:r>
      <w:proofErr w:type="spellStart"/>
      <w:r>
        <w:t>dugotrajna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</w:t>
      </w:r>
      <w:proofErr w:type="spellStart"/>
      <w:r>
        <w:t>iskazan</w:t>
      </w:r>
      <w:proofErr w:type="spellEnd"/>
      <w:r>
        <w:t xml:space="preserve"> je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provedenog</w:t>
      </w:r>
      <w:proofErr w:type="spellEnd"/>
      <w:r>
        <w:t xml:space="preserve"> </w:t>
      </w:r>
      <w:proofErr w:type="spellStart"/>
      <w:r>
        <w:t>ispravka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:rsidR="00996145" w:rsidRDefault="00126DAF">
      <w:r>
        <w:t> </w:t>
      </w:r>
    </w:p>
    <w:p w:rsidR="00996145" w:rsidRDefault="00996145"/>
    <w:p w:rsidR="00996145" w:rsidRDefault="00126DAF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996145" w:rsidRDefault="00126DAF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96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961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9961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58.543,50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45" w:rsidRDefault="00126D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6145" w:rsidRDefault="00996145">
      <w:pPr>
        <w:spacing w:after="0"/>
      </w:pPr>
    </w:p>
    <w:p w:rsidR="00996145" w:rsidRDefault="00126DAF">
      <w:proofErr w:type="spellStart"/>
      <w:r>
        <w:t>Sve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transakcije</w:t>
      </w:r>
      <w:proofErr w:type="spellEnd"/>
      <w:r>
        <w:t xml:space="preserve"> Vrtića </w:t>
      </w:r>
      <w:proofErr w:type="spellStart"/>
      <w:r>
        <w:t>obavljaju</w:t>
      </w:r>
      <w:proofErr w:type="spellEnd"/>
      <w:r>
        <w:t xml:space="preserve"> se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riznice</w:t>
      </w:r>
      <w:proofErr w:type="spellEnd"/>
      <w:r>
        <w:t xml:space="preserve"> Grada Velika Gorica.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poslane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riznice</w:t>
      </w:r>
      <w:proofErr w:type="spellEnd"/>
      <w:r>
        <w:t xml:space="preserve"> u </w:t>
      </w:r>
      <w:proofErr w:type="spellStart"/>
      <w:r>
        <w:t>zahtjevima</w:t>
      </w:r>
      <w:proofErr w:type="spellEnd"/>
      <w:r>
        <w:t xml:space="preserve"> za </w:t>
      </w:r>
      <w:proofErr w:type="spellStart"/>
      <w:r>
        <w:t>plaćanje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od 14.11.2025. </w:t>
      </w:r>
      <w:proofErr w:type="spellStart"/>
      <w:r>
        <w:t>do</w:t>
      </w:r>
      <w:proofErr w:type="spellEnd"/>
      <w:r>
        <w:t xml:space="preserve"> 24.12.2025.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Zahtjevi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obrađeni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prihvaćene</w:t>
      </w:r>
      <w:proofErr w:type="spellEnd"/>
      <w:r>
        <w:t xml:space="preserve">.  Na dan 31.12.2025.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a </w:t>
      </w:r>
      <w:proofErr w:type="spellStart"/>
      <w:r>
        <w:t>nepodmirene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nalaze</w:t>
      </w:r>
      <w:proofErr w:type="spellEnd"/>
      <w:r>
        <w:t xml:space="preserve"> se u: - </w:t>
      </w:r>
      <w:proofErr w:type="spellStart"/>
      <w:r>
        <w:t>obvezama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u </w:t>
      </w:r>
      <w:proofErr w:type="spellStart"/>
      <w:r>
        <w:t>prekoračenju</w:t>
      </w:r>
      <w:proofErr w:type="spellEnd"/>
      <w:r>
        <w:t xml:space="preserve"> 1 – 60 dana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49.906,14 euro :  Zahtjev 2500257, datum </w:t>
      </w:r>
      <w:proofErr w:type="spellStart"/>
      <w:r>
        <w:t>zahtjeva</w:t>
      </w:r>
      <w:proofErr w:type="spellEnd"/>
      <w:r>
        <w:t xml:space="preserve"> 14.11.2025., </w:t>
      </w:r>
      <w:proofErr w:type="spellStart"/>
      <w:r>
        <w:t>Zahtjev</w:t>
      </w:r>
      <w:proofErr w:type="spellEnd"/>
      <w:r>
        <w:t xml:space="preserve"> 2500259, datum </w:t>
      </w:r>
      <w:proofErr w:type="spellStart"/>
      <w:r>
        <w:t>zahtjeva</w:t>
      </w:r>
      <w:proofErr w:type="spellEnd"/>
      <w:r>
        <w:t xml:space="preserve"> 19.</w:t>
      </w:r>
      <w:r>
        <w:t xml:space="preserve">11.2025., </w:t>
      </w:r>
      <w:proofErr w:type="spellStart"/>
      <w:r>
        <w:t>Zahtjev</w:t>
      </w:r>
      <w:proofErr w:type="spellEnd"/>
      <w:r>
        <w:t xml:space="preserve"> 2500269, datum </w:t>
      </w:r>
      <w:proofErr w:type="spellStart"/>
      <w:r>
        <w:t>zahtjeva</w:t>
      </w:r>
      <w:proofErr w:type="spellEnd"/>
      <w:r>
        <w:t xml:space="preserve"> 28.11.2025., </w:t>
      </w:r>
      <w:proofErr w:type="spellStart"/>
      <w:r>
        <w:t>Zahtjev</w:t>
      </w:r>
      <w:proofErr w:type="spellEnd"/>
      <w:r>
        <w:t xml:space="preserve"> 2500271, datum </w:t>
      </w:r>
      <w:proofErr w:type="spellStart"/>
      <w:r>
        <w:t>zahtjeva</w:t>
      </w:r>
      <w:proofErr w:type="spellEnd"/>
      <w:r>
        <w:t xml:space="preserve"> 28.11.2025., </w:t>
      </w:r>
      <w:proofErr w:type="spellStart"/>
      <w:r>
        <w:t>Zahtjev</w:t>
      </w:r>
      <w:proofErr w:type="spellEnd"/>
      <w:r>
        <w:t xml:space="preserve"> 2500273, datum </w:t>
      </w:r>
      <w:proofErr w:type="spellStart"/>
      <w:r>
        <w:t>zahtjeva</w:t>
      </w:r>
      <w:proofErr w:type="spellEnd"/>
      <w:r>
        <w:t xml:space="preserve"> 02.12.2025., </w:t>
      </w:r>
      <w:proofErr w:type="spellStart"/>
      <w:r>
        <w:t>Zahtjev</w:t>
      </w:r>
      <w:proofErr w:type="spellEnd"/>
      <w:r>
        <w:t xml:space="preserve"> 2500276, datum </w:t>
      </w:r>
      <w:proofErr w:type="spellStart"/>
      <w:r>
        <w:t>zahtjeva</w:t>
      </w:r>
      <w:proofErr w:type="spellEnd"/>
      <w:r>
        <w:t xml:space="preserve"> 04.12.2025., </w:t>
      </w:r>
      <w:proofErr w:type="spellStart"/>
      <w:r>
        <w:t>Zahtjev</w:t>
      </w:r>
      <w:proofErr w:type="spellEnd"/>
      <w:r>
        <w:t xml:space="preserve"> 2500278, datum </w:t>
      </w:r>
      <w:proofErr w:type="spellStart"/>
      <w:r>
        <w:t>zahtjeva</w:t>
      </w:r>
      <w:proofErr w:type="spellEnd"/>
      <w:r>
        <w:t xml:space="preserve"> 04.12.2025., </w:t>
      </w:r>
      <w:proofErr w:type="spellStart"/>
      <w:r>
        <w:t>Zahtjev</w:t>
      </w:r>
      <w:proofErr w:type="spellEnd"/>
      <w:r>
        <w:t xml:space="preserve"> 2500279, datum </w:t>
      </w:r>
      <w:proofErr w:type="spellStart"/>
      <w:r>
        <w:t>zahtjeva</w:t>
      </w:r>
      <w:proofErr w:type="spellEnd"/>
      <w:r>
        <w:t xml:space="preserve"> 05.12.2025., </w:t>
      </w:r>
      <w:proofErr w:type="spellStart"/>
      <w:r>
        <w:t>Zahtjev</w:t>
      </w:r>
      <w:proofErr w:type="spellEnd"/>
      <w:r>
        <w:t xml:space="preserve"> 2500280, datum </w:t>
      </w:r>
      <w:proofErr w:type="spellStart"/>
      <w:r>
        <w:t>zahtjeva</w:t>
      </w:r>
      <w:proofErr w:type="spellEnd"/>
      <w:r>
        <w:t xml:space="preserve"> 09.12.2025., </w:t>
      </w:r>
      <w:proofErr w:type="spellStart"/>
      <w:r>
        <w:t>Zahtjev</w:t>
      </w:r>
      <w:proofErr w:type="spellEnd"/>
      <w:r>
        <w:t xml:space="preserve"> 2500285, datum </w:t>
      </w:r>
      <w:proofErr w:type="spellStart"/>
      <w:r>
        <w:t>zahtjeva</w:t>
      </w:r>
      <w:proofErr w:type="spellEnd"/>
      <w:r>
        <w:t xml:space="preserve"> 10.12.2025., </w:t>
      </w:r>
      <w:proofErr w:type="spellStart"/>
      <w:r>
        <w:t>Zahtjev</w:t>
      </w:r>
      <w:proofErr w:type="spellEnd"/>
      <w:r>
        <w:t xml:space="preserve"> 2500286, datum </w:t>
      </w:r>
      <w:proofErr w:type="spellStart"/>
      <w:r>
        <w:t>zahtjeva</w:t>
      </w:r>
      <w:proofErr w:type="spellEnd"/>
      <w:r>
        <w:t xml:space="preserve"> 10.12.2025., </w:t>
      </w:r>
      <w:proofErr w:type="spellStart"/>
      <w:r>
        <w:t>Zahtjev</w:t>
      </w:r>
      <w:proofErr w:type="spellEnd"/>
      <w:r>
        <w:t xml:space="preserve"> 2500287, datum </w:t>
      </w:r>
      <w:proofErr w:type="spellStart"/>
      <w:r>
        <w:t>zahtjeva</w:t>
      </w:r>
      <w:proofErr w:type="spellEnd"/>
      <w:r>
        <w:t xml:space="preserve"> 12.12.2025., </w:t>
      </w:r>
      <w:proofErr w:type="spellStart"/>
      <w:r>
        <w:t>Zahtjev</w:t>
      </w:r>
      <w:proofErr w:type="spellEnd"/>
      <w:r>
        <w:t xml:space="preserve"> 2500288, datum </w:t>
      </w:r>
      <w:proofErr w:type="spellStart"/>
      <w:r>
        <w:t>zahtjeva</w:t>
      </w:r>
      <w:proofErr w:type="spellEnd"/>
      <w:r>
        <w:t xml:space="preserve"> 15.12.2025., </w:t>
      </w:r>
      <w:proofErr w:type="spellStart"/>
      <w:r>
        <w:t>Zahtjev</w:t>
      </w:r>
      <w:proofErr w:type="spellEnd"/>
      <w:r>
        <w:t xml:space="preserve"> 2500290, datum </w:t>
      </w:r>
      <w:proofErr w:type="spellStart"/>
      <w:r>
        <w:t>zahtjeva</w:t>
      </w:r>
      <w:proofErr w:type="spellEnd"/>
      <w:r>
        <w:t xml:space="preserve"> 17.12.2025., </w:t>
      </w:r>
      <w:proofErr w:type="spellStart"/>
      <w:r>
        <w:t>Zahtjev</w:t>
      </w:r>
      <w:proofErr w:type="spellEnd"/>
      <w:r>
        <w:t xml:space="preserve"> 2500292, datum </w:t>
      </w:r>
      <w:proofErr w:type="spellStart"/>
      <w:r>
        <w:t>zahtjeva</w:t>
      </w:r>
      <w:proofErr w:type="spellEnd"/>
      <w:r>
        <w:t xml:space="preserve"> </w:t>
      </w:r>
      <w:r>
        <w:lastRenderedPageBreak/>
        <w:t xml:space="preserve">18.12.2025., </w:t>
      </w:r>
      <w:proofErr w:type="spellStart"/>
      <w:r>
        <w:t>Zahtjev</w:t>
      </w:r>
      <w:proofErr w:type="spellEnd"/>
      <w:r>
        <w:t xml:space="preserve"> 2500293, datum </w:t>
      </w:r>
      <w:proofErr w:type="spellStart"/>
      <w:r>
        <w:t>zahtjeva</w:t>
      </w:r>
      <w:proofErr w:type="spellEnd"/>
      <w:r>
        <w:t xml:space="preserve"> 18.12.2025., </w:t>
      </w:r>
      <w:proofErr w:type="spellStart"/>
      <w:r>
        <w:t>Zahtjev</w:t>
      </w:r>
      <w:proofErr w:type="spellEnd"/>
      <w:r>
        <w:t xml:space="preserve"> 2500295, datum </w:t>
      </w:r>
      <w:proofErr w:type="spellStart"/>
      <w:r>
        <w:t>zahtjeva</w:t>
      </w:r>
      <w:proofErr w:type="spellEnd"/>
      <w:r>
        <w:t xml:space="preserve"> 19.12.2025., </w:t>
      </w:r>
      <w:proofErr w:type="spellStart"/>
      <w:r>
        <w:t>Zahtjev</w:t>
      </w:r>
      <w:proofErr w:type="spellEnd"/>
      <w:r>
        <w:t xml:space="preserve"> 2500296, datum </w:t>
      </w:r>
      <w:proofErr w:type="spellStart"/>
      <w:r>
        <w:t>zahtjeva</w:t>
      </w:r>
      <w:proofErr w:type="spellEnd"/>
      <w:r>
        <w:t xml:space="preserve"> 22.12.2025., </w:t>
      </w:r>
      <w:proofErr w:type="spellStart"/>
      <w:r>
        <w:t>Zahtjev</w:t>
      </w:r>
      <w:proofErr w:type="spellEnd"/>
      <w:r>
        <w:t xml:space="preserve"> 2500297, datum </w:t>
      </w:r>
      <w:proofErr w:type="spellStart"/>
      <w:r>
        <w:t>zahtjeva</w:t>
      </w:r>
      <w:proofErr w:type="spellEnd"/>
      <w:r>
        <w:t xml:space="preserve"> 24.12.2025., </w:t>
      </w:r>
      <w:proofErr w:type="spellStart"/>
      <w:r>
        <w:t>Zahtjev</w:t>
      </w:r>
      <w:proofErr w:type="spellEnd"/>
      <w:r>
        <w:t xml:space="preserve"> 2500298, datum </w:t>
      </w:r>
      <w:proofErr w:type="spellStart"/>
      <w:r>
        <w:t>zahtjeva</w:t>
      </w:r>
      <w:proofErr w:type="spellEnd"/>
      <w:r>
        <w:t xml:space="preserve"> 24.12.2025. - </w:t>
      </w:r>
      <w:proofErr w:type="spellStart"/>
      <w:r>
        <w:t>obvezama</w:t>
      </w:r>
      <w:proofErr w:type="spellEnd"/>
      <w:r>
        <w:t xml:space="preserve"> za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u </w:t>
      </w:r>
      <w:proofErr w:type="spellStart"/>
      <w:r>
        <w:t>prekoračenju</w:t>
      </w:r>
      <w:proofErr w:type="spellEnd"/>
      <w:r>
        <w:t xml:space="preserve"> 1 – 60 </w:t>
      </w:r>
      <w:proofErr w:type="gramStart"/>
      <w:r>
        <w:t>dana  </w:t>
      </w:r>
      <w:proofErr w:type="spellStart"/>
      <w:r>
        <w:t>te</w:t>
      </w:r>
      <w:proofErr w:type="spellEnd"/>
      <w:proofErr w:type="gramEnd"/>
      <w:r>
        <w:t xml:space="preserve"> </w:t>
      </w:r>
      <w:proofErr w:type="spellStart"/>
      <w:r>
        <w:t>iznose</w:t>
      </w:r>
      <w:proofErr w:type="spellEnd"/>
      <w:r>
        <w:t xml:space="preserve"> 1,86 euro: Zahtjev 2500277, datum </w:t>
      </w:r>
      <w:proofErr w:type="spellStart"/>
      <w:r>
        <w:t>zahtjeva</w:t>
      </w:r>
      <w:proofErr w:type="spellEnd"/>
      <w:r>
        <w:t xml:space="preserve"> 04.12.2025. - </w:t>
      </w:r>
      <w:proofErr w:type="spellStart"/>
      <w:r>
        <w:t>obvezama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prekoračenju</w:t>
      </w:r>
      <w:proofErr w:type="spellEnd"/>
      <w:r>
        <w:t xml:space="preserve"> 1 – 60 dana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iznos</w:t>
      </w:r>
      <w:r>
        <w:t>e</w:t>
      </w:r>
      <w:proofErr w:type="spellEnd"/>
      <w:r>
        <w:t xml:space="preserve"> 8.635,50 </w:t>
      </w:r>
      <w:proofErr w:type="gramStart"/>
      <w:r>
        <w:t>euro :</w:t>
      </w:r>
      <w:proofErr w:type="gramEnd"/>
      <w:r>
        <w:t xml:space="preserve"> Zahtjev 2500291, datum </w:t>
      </w:r>
      <w:proofErr w:type="spellStart"/>
      <w:r>
        <w:t>zahtjeva</w:t>
      </w:r>
      <w:proofErr w:type="spellEnd"/>
      <w:r>
        <w:t xml:space="preserve"> 17.12.2025.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2500294, datum </w:t>
      </w:r>
      <w:proofErr w:type="spellStart"/>
      <w:r>
        <w:t>zahtjeva</w:t>
      </w:r>
      <w:proofErr w:type="spellEnd"/>
      <w:r>
        <w:t xml:space="preserve"> 18.12.2025.</w:t>
      </w:r>
    </w:p>
    <w:p w:rsidR="00996145" w:rsidRDefault="00996145"/>
    <w:sectPr w:rsidR="009961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45"/>
    <w:rsid w:val="000673C9"/>
    <w:rsid w:val="00126DAF"/>
    <w:rsid w:val="009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04138-9EDC-43D9-AAA0-49D2CDC0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3637</Words>
  <Characters>20732</Characters>
  <Application>Microsoft Office Word</Application>
  <DocSecurity>0</DocSecurity>
  <Lines>172</Lines>
  <Paragraphs>48</Paragraphs>
  <ScaleCrop>false</ScaleCrop>
  <Company/>
  <LinksUpToDate>false</LinksUpToDate>
  <CharactersWithSpaces>24321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2026-01-30T12:07:00Z</dcterms:created>
  <dcterms:modified xsi:type="dcterms:W3CDTF">2026-01-30T12:07:00Z</dcterms:modified>
</cp:coreProperties>
</file>